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2026-LRA-II-22-12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für die Herstellung von 55.000 qm Oberflächenbehandlung im Ostalbkreis auf Kreisstraßen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für die Herstellung von 55,000 qm Oberflächenbehandlung im Ostalbkreis auf Kreisstraßen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